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Описание:</w:t>
      </w:r>
      <w:r>
        <w:rPr>
          <w:rFonts w:ascii="Arial" w:hAnsi="Arial" w:cs="Arial"/>
          <w:b/>
        </w:rPr>
        <w:tab/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Модули ус</w:t>
      </w:r>
      <w:r>
        <w:rPr>
          <w:rFonts w:ascii="Arial" w:hAnsi="Arial" w:cs="Arial"/>
        </w:rPr>
        <w:t xml:space="preserve">тановок газового пожаротушения МГП-Т «Уран» применяются для объемного тушения пожаров с применением различных газовых огнетушащих веществ. Используются для защиты от пожара объектов различных отраслей экономики, где важно сохранение имущества и информации.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Используются для защиты серверных, дата-центров, ЦОД, библиотек, хранилищ, архивов, блок-контейнеров с аппаратурой и оборудованием, электроустановок, а также других изолированных помещений промышленного и хозяйственного назначения.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Модули производятся из комплектующи</w:t>
      </w:r>
      <w:r>
        <w:rPr>
          <w:rFonts w:ascii="Arial" w:hAnsi="Arial" w:cs="Arial"/>
        </w:rPr>
        <w:t xml:space="preserve">х, произведенных в России, что позволяет компании выполнять свои обязательства по поставке оборудования в кратчайшие сроки. Внедренная на предприятии система контроля производственных процессов обеспечивает высокий стандарт качества выпускаемой продукции. 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Оборудование соответствует требованиям ТР ЕАЭС 043/2017 «О требованиях к средствам обеспечения безопасности и пожаротушения».</w:t>
      </w:r>
      <w:r/>
    </w:p>
    <w:p>
      <w:r/>
      <w:bookmarkStart w:id="0" w:name="_GoBack"/>
      <w:r/>
      <w:bookmarkEnd w:id="0"/>
      <w:r/>
      <w:r/>
    </w:p>
    <w:p>
      <w:r>
        <w:rPr>
          <w:rFonts w:ascii="Arial" w:hAnsi="Arial" w:cs="Arial" w:eastAsia="Times New Roman"/>
          <w:b/>
          <w:color w:val="000000" w:themeColor="text1"/>
          <w:sz w:val="18"/>
          <w:szCs w:val="20"/>
          <w:lang w:eastAsia="ru-RU"/>
        </w:rPr>
        <w:t xml:space="preserve">МГП-Т-</w:t>
      </w:r>
      <w:r>
        <w:rPr>
          <w:rFonts w:ascii="Arial" w:hAnsi="Arial" w:cs="Arial" w:eastAsia="Times New Roman"/>
          <w:b/>
          <w:color w:val="000000" w:themeColor="text1"/>
          <w:sz w:val="18"/>
          <w:szCs w:val="20"/>
          <w:lang w:eastAsia="ru-RU"/>
        </w:rPr>
        <w:t xml:space="preserve">33</w:t>
      </w:r>
      <w:r>
        <w:rPr>
          <w:rFonts w:ascii="Arial" w:hAnsi="Arial" w:cs="Arial" w:eastAsia="Times New Roman"/>
          <w:b/>
          <w:color w:val="000000" w:themeColor="text1"/>
          <w:sz w:val="18"/>
          <w:szCs w:val="20"/>
          <w:lang w:eastAsia="ru-RU"/>
        </w:rPr>
        <w:t xml:space="preserve"> «Уран» (65-ХХ-50)</w:t>
      </w:r>
      <w:r/>
    </w:p>
    <w:tbl>
      <w:tblPr>
        <w:tblW w:w="15877" w:type="dxa"/>
        <w:tblInd w:w="-717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843"/>
        <w:gridCol w:w="1701"/>
        <w:gridCol w:w="1701"/>
        <w:gridCol w:w="1701"/>
        <w:gridCol w:w="1701"/>
        <w:gridCol w:w="1701"/>
      </w:tblGrid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Модули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МГП-Т-33 «Уран» (65-20-50)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МГП-Т-33 «Уран» (65-40-50)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МГП-Т-33 «Уран» (65-50-50)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МГП-Т-33 «Уран» (65-60-50)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МГП-Т-33 «Уран» (65-80-50)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МГП-Т-33 «Уран» (65-100-50)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МГП-Т-33 «Уран» (65-120-50)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МГП-Т-33 «Уран» (65-140-50)</w:t>
            </w:r>
            <w:r/>
          </w:p>
        </w:tc>
      </w:tr>
      <w:tr>
        <w:trPr>
          <w:trHeight w:val="1296"/>
        </w:trPr>
        <w:tc>
          <w:tcPr>
            <w:shd w:val="clear" w:color="auto" w:fill="ffffff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09290" cy="807251"/>
                      <wp:effectExtent l="0" t="0" r="635" b="0"/>
                      <wp:docPr id="1" name="Рисунок 1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10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15857" cy="8125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79.5pt;height:63.6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09290" cy="807251"/>
                      <wp:effectExtent l="0" t="0" r="635" b="0"/>
                      <wp:docPr id="2" name="Рисунок 17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10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15857" cy="8125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79.5pt;height:63.6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09290" cy="807251"/>
                      <wp:effectExtent l="0" t="0" r="635" b="0"/>
                      <wp:docPr id="3" name="Рисунок 18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10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15857" cy="8125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79.5pt;height:63.6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09290" cy="807251"/>
                      <wp:effectExtent l="0" t="0" r="635" b="0"/>
                      <wp:docPr id="4" name="Рисунок 19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10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15857" cy="8125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79.5pt;height:63.6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61085" cy="845185"/>
                      <wp:effectExtent l="0" t="0" r="5715" b="0"/>
                      <wp:docPr id="5" name="Рисунок 35" descr="C:\Users\Гавриленко Андрей\Desktop\Маркетинг\НЗПО Продукт\МГП-Т Уран\изображения\5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Гавриленко Андрей\Desktop\Маркетинг\НЗПО Продукт\МГП-Т Уран\изображения\5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6108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83.5pt;height:66.5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61085" cy="845185"/>
                      <wp:effectExtent l="0" t="0" r="5715" b="0"/>
                      <wp:docPr id="6" name="Рисунок 34" descr="C:\Users\Гавриленко Андрей\Desktop\Маркетинг\НЗПО Продукт\МГП-Т Уран\изображения\5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Гавриленко Андрей\Desktop\Маркетинг\НЗПО Продукт\МГП-Т Уран\изображения\5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6108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83.5pt;height:66.5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61085" cy="845185"/>
                      <wp:effectExtent l="0" t="0" r="5715" b="0"/>
                      <wp:docPr id="7" name="Рисунок 33" descr="C:\Users\Гавриленко Андрей\Desktop\Маркетинг\НЗПО Продукт\МГП-Т Уран\изображения\5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Гавриленко Андрей\Desktop\Маркетинг\НЗПО Продукт\МГП-Т Уран\изображения\5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6108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83.5pt;height:66.5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61085" cy="845185"/>
                      <wp:effectExtent l="0" t="0" r="5715" b="0"/>
                      <wp:docPr id="8" name="Рисунок 32" descr="C:\Users\Гавриленко Андрей\Desktop\Маркетинг\НЗПО Продукт\МГП-Т Уран\изображения\5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Гавриленко Андрей\Desktop\Маркетинг\НЗПО Продукт\МГП-Т Уран\изображения\5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6108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83.5pt;height:66.5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Вместимость баллона модуля, л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 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50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 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80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140</w:t>
            </w:r>
            <w:r/>
          </w:p>
        </w:tc>
      </w:tr>
      <w:tr>
        <w:trPr>
          <w:trHeight w:val="96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Рабочее да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вление модуля (максимальное при 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50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°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С), МПа (кгс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/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см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vertAlign w:val="superscript"/>
                <w:lang w:eastAsia="ru-RU"/>
              </w:rPr>
              <w:t xml:space="preserve">2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6,4(65)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6,4(65)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6,4(65)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6,4(65)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6,4(65)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6,4(65)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6,4(65)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6,4(65)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Пробное давление, МПа (кгс/см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vertAlign w:val="superscript"/>
                <w:lang w:eastAsia="ru-RU"/>
              </w:rPr>
              <w:t xml:space="preserve">2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9,8(100)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9,8(100)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9,8(100)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9,8(100)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9,8(100)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9,8(100)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9,8(100)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9,8(100)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Минимальное давление в модуле, при котором сохраняется его работоспособность, МПа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1,0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Масса ГОТВ, которая остается в модуле после его срабатывания, кг, не более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0,5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Время выпуска ГОТВ, не более, с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Диаметр условного прохода ЗПУ, мм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18"/>
                <w:lang w:eastAsia="ru-RU"/>
              </w:rPr>
              <w:t xml:space="preserve">33/33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18"/>
                <w:lang w:eastAsia="ru-RU"/>
              </w:rPr>
              <w:t xml:space="preserve">33/33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18"/>
                <w:lang w:eastAsia="ru-RU"/>
              </w:rPr>
              <w:t xml:space="preserve">33/33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18"/>
                <w:lang w:eastAsia="ru-RU"/>
              </w:rPr>
              <w:t xml:space="preserve">33/33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18"/>
                <w:lang w:eastAsia="ru-RU"/>
              </w:rPr>
              <w:t xml:space="preserve">33/33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18"/>
                <w:lang w:eastAsia="ru-RU"/>
              </w:rPr>
              <w:t xml:space="preserve">33/33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18"/>
                <w:lang w:eastAsia="ru-RU"/>
              </w:rPr>
              <w:t xml:space="preserve">33/33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18"/>
                <w:lang w:eastAsia="ru-RU"/>
              </w:rPr>
              <w:t xml:space="preserve">33/33</w:t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Срок службы, лет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15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Ресурс срабатывания, раз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</w:tr>
    </w:tbl>
    <w:p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/>
    </w:p>
    <w:p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/>
    </w:p>
    <w:p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/>
    </w:p>
    <w:p>
      <w:pPr>
        <w:rPr>
          <w:rFonts w:ascii="Arial" w:hAnsi="Arial" w:cs="Arial"/>
          <w:color w:val="000000"/>
        </w:rPr>
      </w:pPr>
      <w:r>
        <w:rPr>
          <w:rFonts w:ascii="Arial" w:hAnsi="Arial" w:cs="Arial" w:eastAsia="Times New Roman"/>
          <w:b/>
          <w:color w:val="000000" w:themeColor="text1"/>
          <w:sz w:val="18"/>
          <w:szCs w:val="20"/>
          <w:lang w:eastAsia="ru-RU"/>
        </w:rPr>
        <w:t xml:space="preserve">МГП-Т-50 «Уран» (65-ХХ-50)</w:t>
      </w:r>
      <w:r/>
    </w:p>
    <w:tbl>
      <w:tblPr>
        <w:tblW w:w="15877" w:type="dxa"/>
        <w:tblInd w:w="-717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843"/>
        <w:gridCol w:w="1701"/>
        <w:gridCol w:w="1701"/>
        <w:gridCol w:w="1701"/>
        <w:gridCol w:w="1701"/>
        <w:gridCol w:w="1701"/>
      </w:tblGrid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Модули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МГП-Т-</w:t>
            </w: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50</w:t>
            </w: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 «Уран» (65-20-50)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МГП-Т-</w:t>
            </w: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50</w:t>
            </w: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 «Уран» (65-40-50)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МГП-Т-</w:t>
            </w: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50</w:t>
            </w: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 «Уран» (65-50-50)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МГП-Т-</w:t>
            </w: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50</w:t>
            </w: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 «Уран» (65-60-50)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МГП-Т-</w:t>
            </w: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50</w:t>
            </w: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 «Уран» (65-80-50)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МГП-Т-</w:t>
            </w: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50</w:t>
            </w: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 «Уран» (65-100-50)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МГП-Т-</w:t>
            </w: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50</w:t>
            </w: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 «Уран» (65-120-50)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МГП-Т-</w:t>
            </w: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50</w:t>
            </w:r>
            <w:r>
              <w:rPr>
                <w:rFonts w:ascii="Arial" w:hAnsi="Arial" w:cs="Arial" w:eastAsia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 «Уран» (65-140-50)</w:t>
            </w:r>
            <w:r/>
          </w:p>
        </w:tc>
      </w:tr>
      <w:tr>
        <w:trPr>
          <w:trHeight w:val="1296"/>
        </w:trPr>
        <w:tc>
          <w:tcPr>
            <w:shd w:val="clear" w:color="auto" w:fill="ffffff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09290" cy="807251"/>
                      <wp:effectExtent l="0" t="0" r="635" b="0"/>
                      <wp:docPr id="9" name="Рисунок 24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10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15857" cy="8125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79.5pt;height:63.6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09290" cy="807251"/>
                      <wp:effectExtent l="0" t="0" r="635" b="0"/>
                      <wp:docPr id="10" name="Рисунок 25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10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15857" cy="8125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mso-wrap-distance-left:0.0pt;mso-wrap-distance-top:0.0pt;mso-wrap-distance-right:0.0pt;mso-wrap-distance-bottom:0.0pt;width:79.5pt;height:63.6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09290" cy="807251"/>
                      <wp:effectExtent l="0" t="0" r="635" b="0"/>
                      <wp:docPr id="11" name="Рисунок 26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10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15857" cy="8125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mso-wrap-distance-left:0.0pt;mso-wrap-distance-top:0.0pt;mso-wrap-distance-right:0.0pt;mso-wrap-distance-bottom:0.0pt;width:79.5pt;height:63.6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09290" cy="807251"/>
                      <wp:effectExtent l="0" t="0" r="635" b="0"/>
                      <wp:docPr id="12" name="Рисунок 27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10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15857" cy="8125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mso-wrap-distance-left:0.0pt;mso-wrap-distance-top:0.0pt;mso-wrap-distance-right:0.0pt;mso-wrap-distance-bottom:0.0pt;width:79.5pt;height:63.6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61085" cy="845185"/>
                      <wp:effectExtent l="0" t="0" r="5715" b="0"/>
                      <wp:docPr id="13" name="Рисунок 36" descr="C:\Users\Гавриленко Андрей\Desktop\Маркетинг\НЗПО Продукт\МГП-Т Уран\изображения\5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Гавриленко Андрей\Desktop\Маркетинг\НЗПО Продукт\МГП-Т Уран\изображения\5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6108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mso-wrap-distance-left:0.0pt;mso-wrap-distance-top:0.0pt;mso-wrap-distance-right:0.0pt;mso-wrap-distance-bottom:0.0pt;width:83.5pt;height:66.5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61085" cy="845185"/>
                      <wp:effectExtent l="0" t="0" r="5715" b="0"/>
                      <wp:docPr id="14" name="Рисунок 38" descr="C:\Users\Гавриленко Андрей\Desktop\Маркетинг\НЗПО Продукт\МГП-Т Уран\изображения\5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Гавриленко Андрей\Desktop\Маркетинг\НЗПО Продукт\МГП-Т Уран\изображения\5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6108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mso-wrap-distance-left:0.0pt;mso-wrap-distance-top:0.0pt;mso-wrap-distance-right:0.0pt;mso-wrap-distance-bottom:0.0pt;width:83.5pt;height:66.5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61085" cy="845185"/>
                      <wp:effectExtent l="0" t="0" r="5715" b="0"/>
                      <wp:docPr id="15" name="Рисунок 37" descr="C:\Users\Гавриленко Андрей\Desktop\Маркетинг\НЗПО Продукт\МГП-Т Уран\изображения\5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Гавриленко Андрей\Desktop\Маркетинг\НЗПО Продукт\МГП-Т Уран\изображения\5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6108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mso-wrap-distance-left:0.0pt;mso-wrap-distance-top:0.0pt;mso-wrap-distance-right:0.0pt;mso-wrap-distance-bottom:0.0pt;width:83.5pt;height:66.5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61085" cy="845185"/>
                      <wp:effectExtent l="0" t="0" r="5715" b="0"/>
                      <wp:docPr id="16" name="Рисунок 39" descr="C:\Users\Гавриленко Андрей\Desktop\Маркетинг\НЗПО Продукт\МГП-Т Уран\изображения\5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Гавриленко Андрей\Desktop\Маркетинг\НЗПО Продукт\МГП-Т Уран\изображения\5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6108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mso-wrap-distance-left:0.0pt;mso-wrap-distance-top:0.0pt;mso-wrap-distance-right:0.0pt;mso-wrap-distance-bottom:0.0pt;width:83.5pt;height:66.5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Вместимость баллона модуля, л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 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50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 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80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140</w:t>
            </w:r>
            <w:r/>
          </w:p>
        </w:tc>
      </w:tr>
      <w:tr>
        <w:trPr>
          <w:trHeight w:val="96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Рабочее давление модуля (максимальное при 50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°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С), МПа (кгс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/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см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vertAlign w:val="superscript"/>
                <w:lang w:eastAsia="ru-RU"/>
              </w:rPr>
              <w:t xml:space="preserve">2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6,4(65)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6,4(65)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6,4(65)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6,4(65)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6,4(65)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6,4(65)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6,4(65)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6,4(65)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Пробное давление, МПа (кгс/см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vertAlign w:val="superscript"/>
                <w:lang w:eastAsia="ru-RU"/>
              </w:rPr>
              <w:t xml:space="preserve">2</w:t>
            </w: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9,8(100)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9,8(100)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9,8(100)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9,8(100)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9,8(100)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9,8(100)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9,8(100)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9,8(100)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Минимальное давление в модуле, при котором сохраняется его работоспособность, МПа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1,0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Масса ГОТВ, которая остается в модуле после его срабатывания, кг, не более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0,5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Время выпуска ГОТВ, не более, с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Диаметр условного прохода ЗПУ, мм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18"/>
                <w:lang w:eastAsia="ru-RU"/>
              </w:rPr>
              <w:t xml:space="preserve">50/50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18"/>
                <w:lang w:eastAsia="ru-RU"/>
              </w:rPr>
              <w:t xml:space="preserve">50/50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18"/>
                <w:lang w:eastAsia="ru-RU"/>
              </w:rPr>
              <w:t xml:space="preserve">50/50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18"/>
                <w:lang w:eastAsia="ru-RU"/>
              </w:rPr>
              <w:t xml:space="preserve">50/50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18"/>
                <w:lang w:eastAsia="ru-RU"/>
              </w:rPr>
              <w:t xml:space="preserve">50/50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18"/>
                <w:lang w:eastAsia="ru-RU"/>
              </w:rPr>
              <w:t xml:space="preserve">50/50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18"/>
                <w:lang w:eastAsia="ru-RU"/>
              </w:rPr>
              <w:t xml:space="preserve">50/50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18"/>
                <w:lang w:eastAsia="ru-RU"/>
              </w:rPr>
              <w:t xml:space="preserve">50/50</w:t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Срок службы, лет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15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Ресурс срабатывания, раз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18"/>
                <w:szCs w:val="20"/>
                <w:lang w:eastAsia="ru-RU"/>
              </w:rPr>
              <w:t xml:space="preserve">20</w:t>
            </w:r>
            <w:r/>
          </w:p>
        </w:tc>
      </w:tr>
    </w:tbl>
    <w:p>
      <w:pPr>
        <w:ind w:left="-425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/>
    </w:p>
    <w:sectPr>
      <w:footnotePr/>
      <w:endnotePr/>
      <w:type w:val="nextPage"/>
      <w:pgSz w:w="16838" w:h="11906" w:orient="landscape"/>
      <w:pgMar w:top="85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4"/>
    <w:next w:val="63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35"/>
    <w:link w:val="638"/>
    <w:uiPriority w:val="99"/>
  </w:style>
  <w:style w:type="character" w:styleId="43">
    <w:name w:val="Footer Char"/>
    <w:basedOn w:val="635"/>
    <w:link w:val="640"/>
    <w:uiPriority w:val="99"/>
  </w:style>
  <w:style w:type="paragraph" w:styleId="44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40"/>
    <w:uiPriority w:val="99"/>
  </w:style>
  <w:style w:type="table" w:styleId="46">
    <w:name w:val="Table Grid"/>
    <w:basedOn w:val="6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>
    <w:name w:val="Header"/>
    <w:basedOn w:val="634"/>
    <w:link w:val="6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39" w:customStyle="1">
    <w:name w:val="Верхний колонтитул Знак"/>
    <w:basedOn w:val="635"/>
    <w:link w:val="638"/>
    <w:uiPriority w:val="99"/>
  </w:style>
  <w:style w:type="paragraph" w:styleId="640">
    <w:name w:val="Footer"/>
    <w:basedOn w:val="634"/>
    <w:link w:val="6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1" w:customStyle="1">
    <w:name w:val="Нижний колонтитул Знак"/>
    <w:basedOn w:val="635"/>
    <w:link w:val="64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Андрей</dc:creator>
  <cp:keywords/>
  <dc:description/>
  <cp:lastModifiedBy>Айше Билялова</cp:lastModifiedBy>
  <cp:revision>17</cp:revision>
  <dcterms:created xsi:type="dcterms:W3CDTF">2022-03-17T05:46:00Z</dcterms:created>
  <dcterms:modified xsi:type="dcterms:W3CDTF">2022-06-20T23:33:51Z</dcterms:modified>
</cp:coreProperties>
</file>